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43" w:rsidRPr="00082858" w:rsidRDefault="00195843" w:rsidP="00195843">
      <w:pPr>
        <w:spacing w:line="360" w:lineRule="exact"/>
        <w:ind w:right="-1"/>
        <w:contextualSpacing/>
        <w:jc w:val="center"/>
        <w:rPr>
          <w:rFonts w:eastAsia="標楷體"/>
          <w:b/>
          <w:color w:val="0070C0"/>
          <w:sz w:val="32"/>
          <w:szCs w:val="32"/>
        </w:rPr>
      </w:pPr>
      <w:r w:rsidRPr="00C749E8">
        <w:rPr>
          <w:rFonts w:eastAsia="標楷體" w:hint="eastAsia"/>
          <w:b/>
          <w:color w:val="0070C0"/>
          <w:sz w:val="32"/>
          <w:szCs w:val="32"/>
        </w:rPr>
        <w:t>國立羅東高級工業職業學校高職優質化輔助方案</w:t>
      </w:r>
      <w:r w:rsidRPr="00082858">
        <w:rPr>
          <w:rFonts w:eastAsia="標楷體" w:hint="eastAsia"/>
          <w:b/>
          <w:color w:val="0070C0"/>
          <w:sz w:val="32"/>
          <w:szCs w:val="32"/>
        </w:rPr>
        <w:t xml:space="preserve">  </w:t>
      </w:r>
    </w:p>
    <w:p w:rsidR="00195843" w:rsidRPr="00C749E8" w:rsidRDefault="00195843" w:rsidP="00195843">
      <w:pPr>
        <w:spacing w:line="360" w:lineRule="exact"/>
        <w:ind w:right="-1"/>
        <w:contextualSpacing/>
        <w:jc w:val="center"/>
        <w:rPr>
          <w:rFonts w:eastAsia="標楷體"/>
          <w:b/>
          <w:color w:val="0070C0"/>
          <w:sz w:val="32"/>
          <w:szCs w:val="32"/>
        </w:rPr>
      </w:pPr>
      <w:r w:rsidRPr="00C749E8">
        <w:rPr>
          <w:rFonts w:eastAsia="標楷體"/>
          <w:b/>
          <w:color w:val="0070C0"/>
          <w:sz w:val="32"/>
          <w:szCs w:val="32"/>
        </w:rPr>
        <w:t>鼓勵社區國中優秀學生適性就近入學獎學金辦法</w:t>
      </w:r>
    </w:p>
    <w:p w:rsidR="00195843" w:rsidRPr="00C749E8" w:rsidRDefault="00195843" w:rsidP="00195843">
      <w:pPr>
        <w:adjustRightInd w:val="0"/>
        <w:spacing w:beforeLines="20" w:before="72"/>
        <w:jc w:val="right"/>
        <w:rPr>
          <w:rFonts w:ascii="標楷體" w:eastAsia="標楷體" w:hAnsi="標楷體"/>
          <w:color w:val="0070C0"/>
          <w:sz w:val="20"/>
          <w:szCs w:val="20"/>
        </w:rPr>
      </w:pPr>
      <w:r w:rsidRPr="00C749E8">
        <w:rPr>
          <w:rFonts w:ascii="標楷體" w:eastAsia="標楷體" w:hAnsi="標楷體"/>
          <w:color w:val="0070C0"/>
          <w:sz w:val="20"/>
          <w:szCs w:val="20"/>
        </w:rPr>
        <w:t>105年5月18日行政會議訂定通過</w:t>
      </w:r>
    </w:p>
    <w:p w:rsidR="00195843" w:rsidRPr="00C749E8" w:rsidRDefault="00195843" w:rsidP="00195843">
      <w:pPr>
        <w:contextualSpacing/>
        <w:jc w:val="right"/>
        <w:rPr>
          <w:rFonts w:ascii="標楷體" w:eastAsia="標楷體" w:hAnsi="標楷體"/>
          <w:color w:val="0070C0"/>
          <w:sz w:val="20"/>
          <w:szCs w:val="20"/>
        </w:rPr>
      </w:pPr>
      <w:r w:rsidRPr="00C749E8">
        <w:rPr>
          <w:rFonts w:ascii="標楷體" w:eastAsia="標楷體" w:hAnsi="標楷體" w:hint="eastAsia"/>
          <w:color w:val="0070C0"/>
          <w:sz w:val="20"/>
          <w:szCs w:val="20"/>
        </w:rPr>
        <w:t>107年04月25日行政會議提案修訂</w:t>
      </w:r>
      <w:r w:rsidRPr="00C749E8">
        <w:rPr>
          <w:rFonts w:ascii="標楷體" w:eastAsia="標楷體" w:hAnsi="標楷體"/>
          <w:color w:val="0070C0"/>
          <w:sz w:val="20"/>
          <w:szCs w:val="20"/>
        </w:rPr>
        <w:t>通過</w:t>
      </w:r>
    </w:p>
    <w:p w:rsidR="00195843" w:rsidRPr="00C749E8" w:rsidRDefault="00195843" w:rsidP="00195843">
      <w:pPr>
        <w:contextualSpacing/>
        <w:jc w:val="right"/>
        <w:rPr>
          <w:rFonts w:ascii="標楷體" w:eastAsia="標楷體" w:hAnsi="標楷體"/>
          <w:color w:val="0070C0"/>
          <w:sz w:val="20"/>
          <w:szCs w:val="20"/>
        </w:rPr>
      </w:pPr>
      <w:r w:rsidRPr="00C749E8">
        <w:rPr>
          <w:rFonts w:ascii="標楷體" w:eastAsia="標楷體" w:hAnsi="標楷體" w:hint="eastAsia"/>
          <w:color w:val="0070C0"/>
          <w:sz w:val="20"/>
          <w:szCs w:val="20"/>
        </w:rPr>
        <w:t>109年03月18日行政會議提案修訂通過</w:t>
      </w:r>
    </w:p>
    <w:p w:rsidR="00195843" w:rsidRPr="00C749E8" w:rsidRDefault="00195843" w:rsidP="00195843">
      <w:pPr>
        <w:contextualSpacing/>
        <w:jc w:val="right"/>
        <w:rPr>
          <w:rFonts w:ascii="標楷體" w:eastAsia="標楷體" w:hAnsi="標楷體"/>
          <w:color w:val="0070C0"/>
          <w:sz w:val="20"/>
          <w:szCs w:val="20"/>
        </w:rPr>
      </w:pPr>
    </w:p>
    <w:p w:rsidR="00195843" w:rsidRPr="00C749E8" w:rsidRDefault="00195843" w:rsidP="00195843">
      <w:pPr>
        <w:adjustRightInd w:val="0"/>
        <w:snapToGrid w:val="0"/>
        <w:jc w:val="both"/>
        <w:rPr>
          <w:rFonts w:eastAsia="標楷體"/>
          <w:color w:val="0070C0"/>
        </w:rPr>
      </w:pPr>
      <w:r w:rsidRPr="00C749E8">
        <w:rPr>
          <w:rFonts w:eastAsia="標楷體"/>
          <w:color w:val="0070C0"/>
        </w:rPr>
        <w:t>一、依據：高職優質化輔助方案辦理。</w:t>
      </w:r>
    </w:p>
    <w:p w:rsidR="00195843" w:rsidRPr="00C749E8" w:rsidRDefault="00195843" w:rsidP="00195843">
      <w:pPr>
        <w:adjustRightInd w:val="0"/>
        <w:snapToGrid w:val="0"/>
        <w:spacing w:line="240" w:lineRule="atLeast"/>
        <w:ind w:left="480" w:hangingChars="200" w:hanging="480"/>
        <w:jc w:val="both"/>
        <w:rPr>
          <w:rFonts w:eastAsia="標楷體"/>
          <w:color w:val="0070C0"/>
        </w:rPr>
      </w:pPr>
      <w:r w:rsidRPr="00C749E8">
        <w:rPr>
          <w:rFonts w:eastAsia="標楷體"/>
          <w:color w:val="0070C0"/>
        </w:rPr>
        <w:t>二、目的：為鼓勵社區國中優秀學生適性就近入學本校專業群科，特設立本獎學金辦法。</w:t>
      </w:r>
    </w:p>
    <w:p w:rsidR="00195843" w:rsidRPr="00C749E8" w:rsidRDefault="00195843" w:rsidP="00195843">
      <w:pPr>
        <w:adjustRightInd w:val="0"/>
        <w:snapToGrid w:val="0"/>
        <w:jc w:val="both"/>
        <w:rPr>
          <w:rFonts w:eastAsia="標楷體"/>
          <w:color w:val="0070C0"/>
        </w:rPr>
      </w:pPr>
      <w:r w:rsidRPr="00C749E8">
        <w:rPr>
          <w:rFonts w:eastAsia="標楷體"/>
          <w:color w:val="0070C0"/>
        </w:rPr>
        <w:t>三、核發對象須符合下列各項條件：</w:t>
      </w:r>
    </w:p>
    <w:p w:rsidR="00195843" w:rsidRPr="00C749E8" w:rsidRDefault="00195843" w:rsidP="00195843">
      <w:pPr>
        <w:widowControl w:val="0"/>
        <w:adjustRightInd w:val="0"/>
        <w:snapToGrid w:val="0"/>
        <w:spacing w:afterLines="30" w:after="108"/>
        <w:ind w:leftChars="115" w:left="780" w:hangingChars="210" w:hanging="504"/>
        <w:rPr>
          <w:rFonts w:eastAsia="標楷體"/>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一</w:t>
      </w:r>
      <w:r w:rsidRPr="00C749E8">
        <w:rPr>
          <w:rFonts w:eastAsia="標楷體"/>
          <w:color w:val="0070C0"/>
          <w:lang w:val="x-none" w:eastAsia="x-none"/>
        </w:rPr>
        <w:t xml:space="preserve">) </w:t>
      </w:r>
      <w:r w:rsidRPr="00C749E8">
        <w:rPr>
          <w:rFonts w:eastAsia="標楷體"/>
          <w:color w:val="0070C0"/>
          <w:lang w:val="x-none" w:eastAsia="x-none"/>
        </w:rPr>
        <w:t>以免試入學方式第一志願錄取本校專業群科之宜蘭縣國民中學畢業生。</w:t>
      </w:r>
    </w:p>
    <w:p w:rsidR="00195843" w:rsidRPr="00C749E8" w:rsidRDefault="00195843" w:rsidP="00195843">
      <w:pPr>
        <w:widowControl w:val="0"/>
        <w:adjustRightInd w:val="0"/>
        <w:snapToGrid w:val="0"/>
        <w:spacing w:afterLines="30" w:after="108"/>
        <w:ind w:leftChars="115" w:left="780" w:hangingChars="210" w:hanging="504"/>
        <w:rPr>
          <w:rFonts w:eastAsia="標楷體"/>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二</w:t>
      </w:r>
      <w:r w:rsidRPr="00C749E8">
        <w:rPr>
          <w:rFonts w:eastAsia="標楷體"/>
          <w:color w:val="0070C0"/>
          <w:lang w:val="x-none" w:eastAsia="x-none"/>
        </w:rPr>
        <w:t xml:space="preserve">) </w:t>
      </w:r>
      <w:r w:rsidRPr="00C749E8">
        <w:rPr>
          <w:rFonts w:eastAsia="標楷體"/>
          <w:color w:val="0070C0"/>
          <w:lang w:val="x-none" w:eastAsia="x-none"/>
        </w:rPr>
        <w:t>入學當年之國中教育會考成績標示每科均達</w:t>
      </w:r>
      <w:r w:rsidRPr="00C749E8">
        <w:rPr>
          <w:rFonts w:eastAsia="標楷體"/>
          <w:color w:val="0070C0"/>
          <w:lang w:val="x-none" w:eastAsia="x-none"/>
        </w:rPr>
        <w:t>B+</w:t>
      </w:r>
      <w:r w:rsidRPr="00C749E8">
        <w:rPr>
          <w:rFonts w:eastAsia="標楷體"/>
          <w:color w:val="0070C0"/>
          <w:lang w:val="x-none" w:eastAsia="x-none"/>
        </w:rPr>
        <w:t>且寫作測驗達</w:t>
      </w:r>
      <w:r w:rsidRPr="00C749E8">
        <w:rPr>
          <w:rFonts w:eastAsia="標楷體"/>
          <w:color w:val="0070C0"/>
          <w:lang w:val="x-none" w:eastAsia="x-none"/>
        </w:rPr>
        <w:t>4</w:t>
      </w:r>
      <w:r w:rsidRPr="00C749E8">
        <w:rPr>
          <w:rFonts w:eastAsia="標楷體"/>
          <w:color w:val="0070C0"/>
          <w:lang w:val="x-none" w:eastAsia="x-none"/>
        </w:rPr>
        <w:t>級分。</w:t>
      </w:r>
    </w:p>
    <w:p w:rsidR="00195843" w:rsidRPr="00C749E8" w:rsidRDefault="00195843" w:rsidP="00195843">
      <w:pPr>
        <w:widowControl w:val="0"/>
        <w:adjustRightInd w:val="0"/>
        <w:snapToGrid w:val="0"/>
        <w:spacing w:afterLines="30" w:after="108"/>
        <w:ind w:leftChars="115" w:left="991" w:hangingChars="298" w:hanging="715"/>
        <w:rPr>
          <w:rFonts w:eastAsia="標楷體"/>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三</w:t>
      </w:r>
      <w:r w:rsidRPr="00C749E8">
        <w:rPr>
          <w:rFonts w:eastAsia="標楷體"/>
          <w:color w:val="0070C0"/>
          <w:lang w:val="x-none" w:eastAsia="x-none"/>
        </w:rPr>
        <w:t xml:space="preserve">) </w:t>
      </w:r>
      <w:r w:rsidRPr="00C749E8">
        <w:rPr>
          <w:rFonts w:eastAsia="標楷體"/>
          <w:color w:val="0070C0"/>
          <w:lang w:val="x-none" w:eastAsia="x-none"/>
        </w:rPr>
        <w:t>入學本校後一年級第一次段考成績名列科排名前</w:t>
      </w:r>
      <w:r w:rsidRPr="00C749E8">
        <w:rPr>
          <w:rFonts w:eastAsia="標楷體"/>
          <w:color w:val="0070C0"/>
          <w:lang w:val="x-none" w:eastAsia="x-none"/>
        </w:rPr>
        <w:t>15%</w:t>
      </w:r>
      <w:r w:rsidRPr="00C749E8">
        <w:rPr>
          <w:rFonts w:eastAsia="標楷體"/>
          <w:color w:val="0070C0"/>
          <w:lang w:val="x-none" w:eastAsia="x-none"/>
        </w:rPr>
        <w:t>。</w:t>
      </w:r>
    </w:p>
    <w:p w:rsidR="00195843" w:rsidRPr="00C749E8" w:rsidRDefault="00195843" w:rsidP="00195843">
      <w:pPr>
        <w:adjustRightInd w:val="0"/>
        <w:spacing w:afterLines="30" w:after="108"/>
        <w:jc w:val="both"/>
        <w:rPr>
          <w:rFonts w:eastAsia="標楷體"/>
          <w:color w:val="0070C0"/>
        </w:rPr>
      </w:pPr>
      <w:r w:rsidRPr="00C749E8">
        <w:rPr>
          <w:rFonts w:eastAsia="標楷體"/>
          <w:color w:val="0070C0"/>
        </w:rPr>
        <w:t>四、獎學金核發標準：</w:t>
      </w:r>
    </w:p>
    <w:p w:rsidR="00195843" w:rsidRPr="00C749E8" w:rsidRDefault="00195843" w:rsidP="00195843">
      <w:pPr>
        <w:widowControl w:val="0"/>
        <w:adjustRightInd w:val="0"/>
        <w:snapToGrid w:val="0"/>
        <w:ind w:leftChars="115" w:left="991" w:hangingChars="298" w:hanging="715"/>
        <w:rPr>
          <w:rFonts w:eastAsia="標楷體"/>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一</w:t>
      </w:r>
      <w:r w:rsidRPr="00C749E8">
        <w:rPr>
          <w:rFonts w:eastAsia="標楷體"/>
          <w:color w:val="0070C0"/>
          <w:lang w:val="x-none" w:eastAsia="x-none"/>
        </w:rPr>
        <w:t>)</w:t>
      </w:r>
      <w:r w:rsidRPr="00C749E8">
        <w:rPr>
          <w:rFonts w:eastAsia="標楷體"/>
          <w:color w:val="0070C0"/>
          <w:lang w:val="x-none" w:eastAsia="x-none"/>
        </w:rPr>
        <w:t>「適性入學優秀獎學金」核發標準：</w:t>
      </w:r>
    </w:p>
    <w:p w:rsidR="00195843" w:rsidRPr="00C749E8" w:rsidRDefault="00195843" w:rsidP="00195843">
      <w:pPr>
        <w:widowControl w:val="0"/>
        <w:adjustRightInd w:val="0"/>
        <w:spacing w:before="50"/>
        <w:ind w:leftChars="332" w:left="798" w:hanging="1"/>
        <w:rPr>
          <w:rFonts w:eastAsia="標楷體" w:hint="eastAsia"/>
          <w:color w:val="0070C0"/>
          <w:lang w:val="x-none"/>
        </w:rPr>
      </w:pPr>
      <w:r w:rsidRPr="00C749E8">
        <w:rPr>
          <w:rFonts w:eastAsia="標楷體"/>
          <w:color w:val="0070C0"/>
          <w:lang w:val="x-none" w:eastAsia="x-none"/>
        </w:rPr>
        <w:t>凡符合第三點各項條件者，核發標準如下：</w:t>
      </w:r>
    </w:p>
    <w:p w:rsidR="00195843" w:rsidRPr="00C749E8" w:rsidRDefault="00195843" w:rsidP="00195843">
      <w:pPr>
        <w:widowControl w:val="0"/>
        <w:adjustRightInd w:val="0"/>
        <w:spacing w:before="50"/>
        <w:ind w:leftChars="332" w:left="798" w:hanging="1"/>
        <w:rPr>
          <w:rFonts w:eastAsia="標楷體" w:hint="eastAsia"/>
          <w:color w:val="0070C0"/>
          <w:lang w:val="x-none"/>
        </w:rPr>
      </w:pPr>
    </w:p>
    <w:tbl>
      <w:tblPr>
        <w:tblW w:w="6776"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91"/>
        <w:gridCol w:w="977"/>
        <w:gridCol w:w="851"/>
        <w:gridCol w:w="914"/>
        <w:gridCol w:w="914"/>
        <w:gridCol w:w="914"/>
        <w:gridCol w:w="915"/>
      </w:tblGrid>
      <w:tr w:rsidR="00195843" w:rsidRPr="00C749E8" w:rsidTr="0093317F">
        <w:trPr>
          <w:trHeight w:val="264"/>
        </w:trPr>
        <w:tc>
          <w:tcPr>
            <w:tcW w:w="1291"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會考成績</w:t>
            </w:r>
          </w:p>
        </w:tc>
        <w:tc>
          <w:tcPr>
            <w:tcW w:w="977"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5A</w:t>
            </w:r>
          </w:p>
        </w:tc>
        <w:tc>
          <w:tcPr>
            <w:tcW w:w="851"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4A</w:t>
            </w:r>
          </w:p>
        </w:tc>
        <w:tc>
          <w:tcPr>
            <w:tcW w:w="914"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3A</w:t>
            </w:r>
          </w:p>
        </w:tc>
        <w:tc>
          <w:tcPr>
            <w:tcW w:w="914"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2A</w:t>
            </w:r>
          </w:p>
        </w:tc>
        <w:tc>
          <w:tcPr>
            <w:tcW w:w="914"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1A</w:t>
            </w:r>
          </w:p>
        </w:tc>
        <w:tc>
          <w:tcPr>
            <w:tcW w:w="915" w:type="dxa"/>
            <w:tcBorders>
              <w:top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5B++</w:t>
            </w:r>
          </w:p>
        </w:tc>
      </w:tr>
      <w:tr w:rsidR="00195843" w:rsidRPr="00C749E8" w:rsidTr="0093317F">
        <w:trPr>
          <w:trHeight w:val="264"/>
        </w:trPr>
        <w:tc>
          <w:tcPr>
            <w:tcW w:w="1291"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color w:val="0070C0"/>
                <w:sz w:val="20"/>
                <w:szCs w:val="20"/>
              </w:rPr>
              <w:t>獎學金金額</w:t>
            </w:r>
          </w:p>
        </w:tc>
        <w:tc>
          <w:tcPr>
            <w:tcW w:w="977"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hint="eastAsia"/>
                <w:color w:val="0070C0"/>
                <w:sz w:val="20"/>
                <w:szCs w:val="20"/>
              </w:rPr>
              <w:t>1</w:t>
            </w:r>
            <w:r w:rsidRPr="00C749E8">
              <w:rPr>
                <w:rFonts w:eastAsia="標楷體"/>
                <w:color w:val="0070C0"/>
                <w:sz w:val="20"/>
                <w:szCs w:val="20"/>
              </w:rPr>
              <w:t>0000</w:t>
            </w:r>
            <w:r w:rsidRPr="00C749E8">
              <w:rPr>
                <w:rFonts w:eastAsia="標楷體"/>
                <w:color w:val="0070C0"/>
                <w:sz w:val="20"/>
                <w:szCs w:val="20"/>
              </w:rPr>
              <w:t>元</w:t>
            </w:r>
          </w:p>
        </w:tc>
        <w:tc>
          <w:tcPr>
            <w:tcW w:w="851"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hint="eastAsia"/>
                <w:color w:val="0070C0"/>
                <w:sz w:val="20"/>
                <w:szCs w:val="20"/>
              </w:rPr>
              <w:t>8</w:t>
            </w:r>
            <w:r w:rsidRPr="00C749E8">
              <w:rPr>
                <w:rFonts w:eastAsia="標楷體"/>
                <w:color w:val="0070C0"/>
                <w:sz w:val="20"/>
                <w:szCs w:val="20"/>
              </w:rPr>
              <w:t>000</w:t>
            </w:r>
            <w:r w:rsidRPr="00C749E8">
              <w:rPr>
                <w:rFonts w:eastAsia="標楷體"/>
                <w:color w:val="0070C0"/>
                <w:sz w:val="20"/>
                <w:szCs w:val="20"/>
              </w:rPr>
              <w:t>元</w:t>
            </w:r>
          </w:p>
        </w:tc>
        <w:tc>
          <w:tcPr>
            <w:tcW w:w="914"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hint="eastAsia"/>
                <w:color w:val="0070C0"/>
                <w:sz w:val="20"/>
                <w:szCs w:val="20"/>
              </w:rPr>
              <w:t>5</w:t>
            </w:r>
            <w:r w:rsidRPr="00C749E8">
              <w:rPr>
                <w:rFonts w:eastAsia="標楷體"/>
                <w:color w:val="0070C0"/>
                <w:sz w:val="20"/>
                <w:szCs w:val="20"/>
              </w:rPr>
              <w:t>000</w:t>
            </w:r>
            <w:r w:rsidRPr="00C749E8">
              <w:rPr>
                <w:rFonts w:eastAsia="標楷體"/>
                <w:color w:val="0070C0"/>
                <w:sz w:val="20"/>
                <w:szCs w:val="20"/>
              </w:rPr>
              <w:t>元</w:t>
            </w:r>
          </w:p>
        </w:tc>
        <w:tc>
          <w:tcPr>
            <w:tcW w:w="914"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hint="eastAsia"/>
                <w:color w:val="0070C0"/>
                <w:sz w:val="20"/>
                <w:szCs w:val="20"/>
              </w:rPr>
              <w:t>3</w:t>
            </w:r>
            <w:r w:rsidRPr="00C749E8">
              <w:rPr>
                <w:rFonts w:eastAsia="標楷體"/>
                <w:color w:val="0070C0"/>
                <w:sz w:val="20"/>
                <w:szCs w:val="20"/>
              </w:rPr>
              <w:t>000</w:t>
            </w:r>
            <w:r w:rsidRPr="00C749E8">
              <w:rPr>
                <w:rFonts w:eastAsia="標楷體"/>
                <w:color w:val="0070C0"/>
                <w:sz w:val="20"/>
                <w:szCs w:val="20"/>
              </w:rPr>
              <w:t>元</w:t>
            </w:r>
          </w:p>
        </w:tc>
        <w:tc>
          <w:tcPr>
            <w:tcW w:w="914"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hint="eastAsia"/>
                <w:color w:val="0070C0"/>
                <w:sz w:val="20"/>
                <w:szCs w:val="20"/>
              </w:rPr>
              <w:t>2</w:t>
            </w:r>
            <w:r w:rsidRPr="00C749E8">
              <w:rPr>
                <w:rFonts w:eastAsia="標楷體"/>
                <w:color w:val="0070C0"/>
                <w:sz w:val="20"/>
                <w:szCs w:val="20"/>
              </w:rPr>
              <w:t>000</w:t>
            </w:r>
            <w:r w:rsidRPr="00C749E8">
              <w:rPr>
                <w:rFonts w:eastAsia="標楷體"/>
                <w:color w:val="0070C0"/>
                <w:sz w:val="20"/>
                <w:szCs w:val="20"/>
              </w:rPr>
              <w:t>元</w:t>
            </w:r>
          </w:p>
        </w:tc>
        <w:tc>
          <w:tcPr>
            <w:tcW w:w="915" w:type="dxa"/>
            <w:tcBorders>
              <w:bottom w:val="single" w:sz="12" w:space="0" w:color="auto"/>
            </w:tcBorders>
            <w:vAlign w:val="center"/>
          </w:tcPr>
          <w:p w:rsidR="00195843" w:rsidRPr="00C749E8" w:rsidRDefault="00195843" w:rsidP="0093317F">
            <w:pPr>
              <w:widowControl w:val="0"/>
              <w:spacing w:line="240" w:lineRule="exact"/>
              <w:jc w:val="center"/>
              <w:rPr>
                <w:rFonts w:eastAsia="標楷體"/>
                <w:color w:val="0070C0"/>
                <w:sz w:val="20"/>
                <w:szCs w:val="20"/>
              </w:rPr>
            </w:pPr>
            <w:r w:rsidRPr="00C749E8">
              <w:rPr>
                <w:rFonts w:eastAsia="標楷體" w:hint="eastAsia"/>
                <w:color w:val="0070C0"/>
                <w:sz w:val="20"/>
                <w:szCs w:val="20"/>
              </w:rPr>
              <w:t>1</w:t>
            </w:r>
            <w:r w:rsidRPr="00C749E8">
              <w:rPr>
                <w:rFonts w:eastAsia="標楷體"/>
                <w:color w:val="0070C0"/>
                <w:sz w:val="20"/>
                <w:szCs w:val="20"/>
              </w:rPr>
              <w:t>000</w:t>
            </w:r>
            <w:r w:rsidRPr="00C749E8">
              <w:rPr>
                <w:rFonts w:eastAsia="標楷體"/>
                <w:color w:val="0070C0"/>
                <w:sz w:val="20"/>
                <w:szCs w:val="20"/>
              </w:rPr>
              <w:t>元</w:t>
            </w:r>
          </w:p>
        </w:tc>
      </w:tr>
    </w:tbl>
    <w:p w:rsidR="00195843" w:rsidRPr="00C749E8" w:rsidRDefault="00195843" w:rsidP="00195843">
      <w:pPr>
        <w:widowControl w:val="0"/>
        <w:adjustRightInd w:val="0"/>
        <w:spacing w:beforeLines="50" w:before="180"/>
        <w:ind w:leftChars="115" w:left="991" w:hangingChars="298" w:hanging="715"/>
        <w:rPr>
          <w:rFonts w:eastAsia="標楷體"/>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二</w:t>
      </w:r>
      <w:r w:rsidRPr="00C749E8">
        <w:rPr>
          <w:rFonts w:eastAsia="標楷體"/>
          <w:color w:val="0070C0"/>
          <w:lang w:val="x-none" w:eastAsia="x-none"/>
        </w:rPr>
        <w:t xml:space="preserve">) </w:t>
      </w:r>
      <w:r w:rsidRPr="00C749E8">
        <w:rPr>
          <w:rFonts w:eastAsia="標楷體"/>
          <w:color w:val="0070C0"/>
          <w:lang w:val="x-none" w:eastAsia="x-none"/>
        </w:rPr>
        <w:t>「入學達標激勵獎學金」核發標準：</w:t>
      </w:r>
    </w:p>
    <w:p w:rsidR="00195843" w:rsidRPr="00C749E8" w:rsidRDefault="00195843" w:rsidP="00195843">
      <w:pPr>
        <w:widowControl w:val="0"/>
        <w:adjustRightInd w:val="0"/>
        <w:spacing w:before="50"/>
        <w:ind w:leftChars="332" w:left="798" w:hanging="1"/>
        <w:rPr>
          <w:rFonts w:eastAsia="標楷體" w:hint="eastAsia"/>
          <w:color w:val="0070C0"/>
          <w:lang w:val="x-none"/>
        </w:rPr>
      </w:pPr>
      <w:r w:rsidRPr="00C749E8">
        <w:rPr>
          <w:rFonts w:eastAsia="標楷體"/>
          <w:color w:val="0070C0"/>
          <w:lang w:val="x-none" w:eastAsia="x-none"/>
        </w:rPr>
        <w:t>凡符合領取前項「適性入學優秀獎學金」者，且英語、數學、自然等</w:t>
      </w:r>
      <w:r w:rsidRPr="00C749E8">
        <w:rPr>
          <w:rFonts w:eastAsia="標楷體"/>
          <w:color w:val="0070C0"/>
          <w:lang w:val="x-none" w:eastAsia="x-none"/>
        </w:rPr>
        <w:t>3</w:t>
      </w:r>
      <w:r w:rsidRPr="00C749E8">
        <w:rPr>
          <w:rFonts w:eastAsia="標楷體"/>
          <w:color w:val="0070C0"/>
          <w:lang w:val="x-none" w:eastAsia="x-none"/>
        </w:rPr>
        <w:t>科重點科目達標者再加發本項獎學金，核發標準如下：</w:t>
      </w:r>
    </w:p>
    <w:p w:rsidR="00195843" w:rsidRPr="00C749E8" w:rsidRDefault="00195843" w:rsidP="00195843">
      <w:pPr>
        <w:widowControl w:val="0"/>
        <w:adjustRightInd w:val="0"/>
        <w:spacing w:before="50"/>
        <w:ind w:leftChars="332" w:left="798" w:hanging="1"/>
        <w:rPr>
          <w:rFonts w:eastAsia="標楷體" w:hint="eastAsia"/>
          <w:color w:val="0070C0"/>
          <w:lang w:val="x-none"/>
        </w:rPr>
      </w:pPr>
    </w:p>
    <w:tbl>
      <w:tblPr>
        <w:tblW w:w="6771"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526"/>
        <w:gridCol w:w="850"/>
        <w:gridCol w:w="851"/>
        <w:gridCol w:w="850"/>
        <w:gridCol w:w="851"/>
        <w:gridCol w:w="992"/>
        <w:gridCol w:w="851"/>
      </w:tblGrid>
      <w:tr w:rsidR="00195843" w:rsidRPr="00C749E8" w:rsidTr="0093317F">
        <w:trPr>
          <w:trHeight w:val="382"/>
        </w:trPr>
        <w:tc>
          <w:tcPr>
            <w:tcW w:w="1526" w:type="dxa"/>
            <w:tcBorders>
              <w:top w:val="single" w:sz="12" w:space="0" w:color="auto"/>
            </w:tcBorders>
          </w:tcPr>
          <w:p w:rsidR="00195843" w:rsidRPr="00C749E8" w:rsidRDefault="00195843" w:rsidP="0093317F">
            <w:pPr>
              <w:widowControl w:val="0"/>
              <w:jc w:val="center"/>
              <w:rPr>
                <w:rFonts w:eastAsia="標楷體"/>
                <w:color w:val="0070C0"/>
                <w:sz w:val="18"/>
                <w:szCs w:val="18"/>
              </w:rPr>
            </w:pPr>
            <w:r w:rsidRPr="00C749E8">
              <w:rPr>
                <w:rFonts w:eastAsia="標楷體"/>
                <w:color w:val="0070C0"/>
                <w:sz w:val="18"/>
                <w:szCs w:val="18"/>
              </w:rPr>
              <w:t>會考科目</w:t>
            </w:r>
            <w:r w:rsidRPr="00C749E8">
              <w:rPr>
                <w:rFonts w:eastAsia="標楷體"/>
                <w:color w:val="0070C0"/>
                <w:sz w:val="18"/>
                <w:szCs w:val="18"/>
              </w:rPr>
              <w:t>/</w:t>
            </w:r>
            <w:r w:rsidRPr="00C749E8">
              <w:rPr>
                <w:rFonts w:eastAsia="標楷體"/>
                <w:color w:val="0070C0"/>
                <w:sz w:val="18"/>
                <w:szCs w:val="18"/>
              </w:rPr>
              <w:t>標示</w:t>
            </w:r>
          </w:p>
        </w:tc>
        <w:tc>
          <w:tcPr>
            <w:tcW w:w="850" w:type="dxa"/>
            <w:tcBorders>
              <w:top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color w:val="0070C0"/>
                <w:sz w:val="18"/>
                <w:szCs w:val="18"/>
              </w:rPr>
              <w:t>英語</w:t>
            </w:r>
            <w:r w:rsidRPr="00C749E8">
              <w:rPr>
                <w:rFonts w:eastAsia="標楷體"/>
                <w:color w:val="0070C0"/>
                <w:sz w:val="18"/>
                <w:szCs w:val="18"/>
              </w:rPr>
              <w:t>/A++</w:t>
            </w:r>
          </w:p>
        </w:tc>
        <w:tc>
          <w:tcPr>
            <w:tcW w:w="851" w:type="dxa"/>
            <w:tcBorders>
              <w:top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color w:val="0070C0"/>
                <w:sz w:val="18"/>
                <w:szCs w:val="18"/>
              </w:rPr>
              <w:t>英語</w:t>
            </w:r>
            <w:r w:rsidRPr="00C749E8">
              <w:rPr>
                <w:rFonts w:eastAsia="標楷體"/>
                <w:color w:val="0070C0"/>
                <w:sz w:val="18"/>
                <w:szCs w:val="18"/>
              </w:rPr>
              <w:t>/A+</w:t>
            </w:r>
          </w:p>
        </w:tc>
        <w:tc>
          <w:tcPr>
            <w:tcW w:w="850" w:type="dxa"/>
            <w:tcBorders>
              <w:top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color w:val="0070C0"/>
                <w:sz w:val="18"/>
                <w:szCs w:val="18"/>
              </w:rPr>
              <w:t>數學</w:t>
            </w:r>
            <w:r w:rsidRPr="00C749E8">
              <w:rPr>
                <w:rFonts w:eastAsia="標楷體"/>
                <w:color w:val="0070C0"/>
                <w:sz w:val="18"/>
                <w:szCs w:val="18"/>
              </w:rPr>
              <w:t>/A++</w:t>
            </w:r>
          </w:p>
        </w:tc>
        <w:tc>
          <w:tcPr>
            <w:tcW w:w="851" w:type="dxa"/>
            <w:tcBorders>
              <w:top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color w:val="0070C0"/>
                <w:sz w:val="18"/>
                <w:szCs w:val="18"/>
              </w:rPr>
              <w:t>數學</w:t>
            </w:r>
            <w:r w:rsidRPr="00C749E8">
              <w:rPr>
                <w:rFonts w:eastAsia="標楷體"/>
                <w:color w:val="0070C0"/>
                <w:sz w:val="18"/>
                <w:szCs w:val="18"/>
              </w:rPr>
              <w:t>/A+</w:t>
            </w:r>
          </w:p>
        </w:tc>
        <w:tc>
          <w:tcPr>
            <w:tcW w:w="992" w:type="dxa"/>
            <w:tcBorders>
              <w:top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color w:val="0070C0"/>
                <w:sz w:val="18"/>
                <w:szCs w:val="18"/>
              </w:rPr>
              <w:t>自然</w:t>
            </w:r>
            <w:r w:rsidRPr="00C749E8">
              <w:rPr>
                <w:rFonts w:eastAsia="標楷體"/>
                <w:color w:val="0070C0"/>
                <w:sz w:val="18"/>
                <w:szCs w:val="18"/>
              </w:rPr>
              <w:t>/A++</w:t>
            </w:r>
          </w:p>
        </w:tc>
        <w:tc>
          <w:tcPr>
            <w:tcW w:w="851" w:type="dxa"/>
            <w:tcBorders>
              <w:top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color w:val="0070C0"/>
                <w:sz w:val="18"/>
                <w:szCs w:val="18"/>
              </w:rPr>
              <w:t>自然</w:t>
            </w:r>
            <w:r w:rsidRPr="00C749E8">
              <w:rPr>
                <w:rFonts w:eastAsia="標楷體"/>
                <w:color w:val="0070C0"/>
                <w:sz w:val="18"/>
                <w:szCs w:val="18"/>
              </w:rPr>
              <w:t>/A+</w:t>
            </w:r>
          </w:p>
        </w:tc>
      </w:tr>
      <w:tr w:rsidR="00195843" w:rsidRPr="00C749E8" w:rsidTr="0093317F">
        <w:trPr>
          <w:trHeight w:val="382"/>
        </w:trPr>
        <w:tc>
          <w:tcPr>
            <w:tcW w:w="1526" w:type="dxa"/>
            <w:tcBorders>
              <w:bottom w:val="single" w:sz="12" w:space="0" w:color="auto"/>
            </w:tcBorders>
          </w:tcPr>
          <w:p w:rsidR="00195843" w:rsidRPr="00C749E8" w:rsidRDefault="00195843" w:rsidP="0093317F">
            <w:pPr>
              <w:widowControl w:val="0"/>
              <w:jc w:val="center"/>
              <w:rPr>
                <w:rFonts w:eastAsia="標楷體"/>
                <w:color w:val="0070C0"/>
                <w:sz w:val="18"/>
                <w:szCs w:val="18"/>
              </w:rPr>
            </w:pPr>
            <w:r w:rsidRPr="00C749E8">
              <w:rPr>
                <w:rFonts w:eastAsia="標楷體"/>
                <w:color w:val="0070C0"/>
                <w:sz w:val="18"/>
                <w:szCs w:val="18"/>
              </w:rPr>
              <w:t>獎學金金額</w:t>
            </w:r>
          </w:p>
        </w:tc>
        <w:tc>
          <w:tcPr>
            <w:tcW w:w="850" w:type="dxa"/>
            <w:tcBorders>
              <w:bottom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hint="eastAsia"/>
                <w:color w:val="0070C0"/>
                <w:sz w:val="18"/>
                <w:szCs w:val="18"/>
              </w:rPr>
              <w:t>3</w:t>
            </w:r>
            <w:r w:rsidRPr="00C749E8">
              <w:rPr>
                <w:rFonts w:eastAsia="標楷體"/>
                <w:color w:val="0070C0"/>
                <w:sz w:val="18"/>
                <w:szCs w:val="18"/>
              </w:rPr>
              <w:t>000</w:t>
            </w:r>
            <w:r w:rsidRPr="00C749E8">
              <w:rPr>
                <w:rFonts w:eastAsia="標楷體"/>
                <w:color w:val="0070C0"/>
                <w:sz w:val="18"/>
                <w:szCs w:val="18"/>
              </w:rPr>
              <w:t>元</w:t>
            </w:r>
          </w:p>
        </w:tc>
        <w:tc>
          <w:tcPr>
            <w:tcW w:w="851" w:type="dxa"/>
            <w:tcBorders>
              <w:bottom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hint="eastAsia"/>
                <w:color w:val="0070C0"/>
                <w:sz w:val="18"/>
                <w:szCs w:val="18"/>
              </w:rPr>
              <w:t>2</w:t>
            </w:r>
            <w:r w:rsidRPr="00C749E8">
              <w:rPr>
                <w:rFonts w:eastAsia="標楷體"/>
                <w:color w:val="0070C0"/>
                <w:sz w:val="18"/>
                <w:szCs w:val="18"/>
              </w:rPr>
              <w:t>000</w:t>
            </w:r>
            <w:r w:rsidRPr="00C749E8">
              <w:rPr>
                <w:rFonts w:eastAsia="標楷體"/>
                <w:color w:val="0070C0"/>
                <w:sz w:val="18"/>
                <w:szCs w:val="18"/>
              </w:rPr>
              <w:t>元</w:t>
            </w:r>
          </w:p>
        </w:tc>
        <w:tc>
          <w:tcPr>
            <w:tcW w:w="850" w:type="dxa"/>
            <w:tcBorders>
              <w:bottom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hint="eastAsia"/>
                <w:color w:val="0070C0"/>
                <w:sz w:val="18"/>
                <w:szCs w:val="18"/>
              </w:rPr>
              <w:t>3</w:t>
            </w:r>
            <w:r w:rsidRPr="00C749E8">
              <w:rPr>
                <w:rFonts w:eastAsia="標楷體"/>
                <w:color w:val="0070C0"/>
                <w:sz w:val="18"/>
                <w:szCs w:val="18"/>
              </w:rPr>
              <w:t>000</w:t>
            </w:r>
            <w:r w:rsidRPr="00C749E8">
              <w:rPr>
                <w:rFonts w:eastAsia="標楷體"/>
                <w:color w:val="0070C0"/>
                <w:sz w:val="18"/>
                <w:szCs w:val="18"/>
              </w:rPr>
              <w:t>元</w:t>
            </w:r>
          </w:p>
        </w:tc>
        <w:tc>
          <w:tcPr>
            <w:tcW w:w="851" w:type="dxa"/>
            <w:tcBorders>
              <w:bottom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hint="eastAsia"/>
                <w:color w:val="0070C0"/>
                <w:sz w:val="18"/>
                <w:szCs w:val="18"/>
              </w:rPr>
              <w:t>2</w:t>
            </w:r>
            <w:r w:rsidRPr="00C749E8">
              <w:rPr>
                <w:rFonts w:eastAsia="標楷體"/>
                <w:color w:val="0070C0"/>
                <w:sz w:val="18"/>
                <w:szCs w:val="18"/>
              </w:rPr>
              <w:t>000</w:t>
            </w:r>
            <w:r w:rsidRPr="00C749E8">
              <w:rPr>
                <w:rFonts w:eastAsia="標楷體"/>
                <w:color w:val="0070C0"/>
                <w:sz w:val="18"/>
                <w:szCs w:val="18"/>
              </w:rPr>
              <w:t>元</w:t>
            </w:r>
          </w:p>
        </w:tc>
        <w:tc>
          <w:tcPr>
            <w:tcW w:w="992" w:type="dxa"/>
            <w:tcBorders>
              <w:bottom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hint="eastAsia"/>
                <w:color w:val="0070C0"/>
                <w:sz w:val="18"/>
                <w:szCs w:val="18"/>
              </w:rPr>
              <w:t>3</w:t>
            </w:r>
            <w:r w:rsidRPr="00C749E8">
              <w:rPr>
                <w:rFonts w:eastAsia="標楷體"/>
                <w:color w:val="0070C0"/>
                <w:sz w:val="18"/>
                <w:szCs w:val="18"/>
              </w:rPr>
              <w:t>000</w:t>
            </w:r>
            <w:r w:rsidRPr="00C749E8">
              <w:rPr>
                <w:rFonts w:eastAsia="標楷體"/>
                <w:color w:val="0070C0"/>
                <w:sz w:val="18"/>
                <w:szCs w:val="18"/>
              </w:rPr>
              <w:t>元</w:t>
            </w:r>
          </w:p>
        </w:tc>
        <w:tc>
          <w:tcPr>
            <w:tcW w:w="851" w:type="dxa"/>
            <w:tcBorders>
              <w:bottom w:val="single" w:sz="12" w:space="0" w:color="auto"/>
            </w:tcBorders>
          </w:tcPr>
          <w:p w:rsidR="00195843" w:rsidRPr="00C749E8" w:rsidRDefault="00195843" w:rsidP="0093317F">
            <w:pPr>
              <w:widowControl w:val="0"/>
              <w:ind w:leftChars="-45" w:left="-108" w:rightChars="-36" w:right="-86"/>
              <w:jc w:val="center"/>
              <w:rPr>
                <w:rFonts w:eastAsia="標楷體"/>
                <w:color w:val="0070C0"/>
                <w:sz w:val="18"/>
                <w:szCs w:val="18"/>
              </w:rPr>
            </w:pPr>
            <w:r w:rsidRPr="00C749E8">
              <w:rPr>
                <w:rFonts w:eastAsia="標楷體" w:hint="eastAsia"/>
                <w:color w:val="0070C0"/>
                <w:sz w:val="18"/>
                <w:szCs w:val="18"/>
              </w:rPr>
              <w:t>2</w:t>
            </w:r>
            <w:r w:rsidRPr="00C749E8">
              <w:rPr>
                <w:rFonts w:eastAsia="標楷體"/>
                <w:color w:val="0070C0"/>
                <w:sz w:val="18"/>
                <w:szCs w:val="18"/>
              </w:rPr>
              <w:t>000</w:t>
            </w:r>
            <w:r w:rsidRPr="00C749E8">
              <w:rPr>
                <w:rFonts w:eastAsia="標楷體"/>
                <w:color w:val="0070C0"/>
                <w:sz w:val="18"/>
                <w:szCs w:val="18"/>
              </w:rPr>
              <w:t>元</w:t>
            </w:r>
          </w:p>
        </w:tc>
      </w:tr>
    </w:tbl>
    <w:p w:rsidR="00195843" w:rsidRPr="00C749E8" w:rsidRDefault="00195843" w:rsidP="00195843">
      <w:pPr>
        <w:widowControl w:val="0"/>
        <w:adjustRightInd w:val="0"/>
        <w:spacing w:before="50"/>
        <w:rPr>
          <w:rFonts w:eastAsia="標楷體" w:hint="eastAsia"/>
          <w:color w:val="0070C0"/>
          <w:lang w:val="x-none"/>
        </w:rPr>
      </w:pPr>
      <w:bookmarkStart w:id="0" w:name="_GoBack"/>
      <w:bookmarkEnd w:id="0"/>
    </w:p>
    <w:p w:rsidR="00195843" w:rsidRPr="00C749E8" w:rsidRDefault="00195843" w:rsidP="00195843">
      <w:pPr>
        <w:widowControl w:val="0"/>
        <w:adjustRightInd w:val="0"/>
        <w:spacing w:beforeLines="50" w:before="180"/>
        <w:ind w:leftChars="115" w:left="991" w:hangingChars="298" w:hanging="715"/>
        <w:rPr>
          <w:rFonts w:eastAsia="標楷體"/>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三</w:t>
      </w:r>
      <w:r w:rsidRPr="00C749E8">
        <w:rPr>
          <w:rFonts w:eastAsia="標楷體"/>
          <w:color w:val="0070C0"/>
          <w:lang w:val="x-none" w:eastAsia="x-none"/>
        </w:rPr>
        <w:t xml:space="preserve">) </w:t>
      </w:r>
      <w:r w:rsidRPr="00C749E8">
        <w:rPr>
          <w:rFonts w:eastAsia="標楷體"/>
          <w:color w:val="0070C0"/>
          <w:lang w:val="x-none" w:eastAsia="x-none"/>
        </w:rPr>
        <w:t>「入學持續績優獎學金」核發標準︰</w:t>
      </w:r>
    </w:p>
    <w:p w:rsidR="00195843" w:rsidRPr="00C749E8" w:rsidRDefault="00195843" w:rsidP="00195843">
      <w:pPr>
        <w:widowControl w:val="0"/>
        <w:adjustRightInd w:val="0"/>
        <w:spacing w:before="50"/>
        <w:ind w:leftChars="332" w:left="798" w:hanging="1"/>
        <w:rPr>
          <w:rFonts w:eastAsia="標楷體"/>
          <w:color w:val="0070C0"/>
          <w:lang w:val="x-none" w:eastAsia="x-none"/>
        </w:rPr>
      </w:pPr>
      <w:r w:rsidRPr="00C749E8">
        <w:rPr>
          <w:rFonts w:eastAsia="標楷體"/>
          <w:color w:val="0070C0"/>
          <w:lang w:val="x-none" w:eastAsia="x-none"/>
        </w:rPr>
        <w:t>前一學期領有前述</w:t>
      </w:r>
      <w:r w:rsidRPr="00C749E8">
        <w:rPr>
          <w:rFonts w:eastAsia="標楷體"/>
          <w:color w:val="0070C0"/>
          <w:lang w:val="x-none" w:eastAsia="x-none"/>
        </w:rPr>
        <w:t>(</w:t>
      </w:r>
      <w:r w:rsidRPr="00C749E8">
        <w:rPr>
          <w:rFonts w:eastAsia="標楷體"/>
          <w:color w:val="0070C0"/>
          <w:lang w:val="x-none" w:eastAsia="x-none"/>
        </w:rPr>
        <w:t>一</w:t>
      </w:r>
      <w:r w:rsidRPr="00C749E8">
        <w:rPr>
          <w:rFonts w:eastAsia="標楷體"/>
          <w:color w:val="0070C0"/>
          <w:lang w:val="x-none" w:eastAsia="x-none"/>
        </w:rPr>
        <w:t>)</w:t>
      </w:r>
      <w:r w:rsidRPr="00C749E8">
        <w:rPr>
          <w:rFonts w:eastAsia="標楷體"/>
          <w:color w:val="0070C0"/>
          <w:lang w:val="x-none" w:eastAsia="x-none"/>
        </w:rPr>
        <w:t>或</w:t>
      </w:r>
      <w:r w:rsidRPr="00C749E8">
        <w:rPr>
          <w:rFonts w:eastAsia="標楷體"/>
          <w:color w:val="0070C0"/>
          <w:lang w:val="x-none" w:eastAsia="x-none"/>
        </w:rPr>
        <w:t>(</w:t>
      </w:r>
      <w:r w:rsidRPr="00C749E8">
        <w:rPr>
          <w:rFonts w:eastAsia="標楷體"/>
          <w:color w:val="0070C0"/>
          <w:lang w:val="x-none" w:eastAsia="x-none"/>
        </w:rPr>
        <w:t>二</w:t>
      </w:r>
      <w:r w:rsidRPr="00C749E8">
        <w:rPr>
          <w:rFonts w:eastAsia="標楷體"/>
          <w:color w:val="0070C0"/>
          <w:lang w:val="x-none" w:eastAsia="x-none"/>
        </w:rPr>
        <w:t>)</w:t>
      </w:r>
      <w:r w:rsidRPr="00C749E8">
        <w:rPr>
          <w:rFonts w:eastAsia="標楷體"/>
          <w:color w:val="0070C0"/>
          <w:lang w:val="x-none" w:eastAsia="x-none"/>
        </w:rPr>
        <w:t>獎學金者，其一年級第二學期及二、三年級各學期，在前一學期學業總平均成績名列名列科排名前</w:t>
      </w:r>
      <w:r w:rsidRPr="00C749E8">
        <w:rPr>
          <w:rFonts w:eastAsia="標楷體"/>
          <w:color w:val="0070C0"/>
          <w:lang w:val="x-none" w:eastAsia="x-none"/>
        </w:rPr>
        <w:t>15%</w:t>
      </w:r>
      <w:r w:rsidRPr="00C749E8">
        <w:rPr>
          <w:rFonts w:eastAsia="標楷體"/>
          <w:color w:val="0070C0"/>
          <w:lang w:val="x-none" w:eastAsia="x-none"/>
        </w:rPr>
        <w:t>、前一學期所有實習科目均需達</w:t>
      </w:r>
      <w:r w:rsidRPr="00C749E8">
        <w:rPr>
          <w:rFonts w:eastAsia="標楷體"/>
          <w:color w:val="0070C0"/>
          <w:lang w:val="x-none" w:eastAsia="x-none"/>
        </w:rPr>
        <w:t>75</w:t>
      </w:r>
      <w:r w:rsidRPr="00C749E8">
        <w:rPr>
          <w:rFonts w:eastAsia="標楷體"/>
          <w:color w:val="0070C0"/>
          <w:lang w:val="x-none" w:eastAsia="x-none"/>
        </w:rPr>
        <w:t>分以上，且無不及格科目及德行評量未經記小過以上懲處者，得繼續領取前述</w:t>
      </w:r>
      <w:r w:rsidRPr="00C749E8">
        <w:rPr>
          <w:rFonts w:eastAsia="標楷體"/>
          <w:color w:val="0070C0"/>
          <w:lang w:val="x-none" w:eastAsia="x-none"/>
        </w:rPr>
        <w:t>(</w:t>
      </w:r>
      <w:r w:rsidRPr="00C749E8">
        <w:rPr>
          <w:rFonts w:eastAsia="標楷體"/>
          <w:color w:val="0070C0"/>
          <w:lang w:val="x-none" w:eastAsia="x-none"/>
        </w:rPr>
        <w:t>一</w:t>
      </w:r>
      <w:r w:rsidRPr="00C749E8">
        <w:rPr>
          <w:rFonts w:eastAsia="標楷體"/>
          <w:color w:val="0070C0"/>
          <w:lang w:val="x-none" w:eastAsia="x-none"/>
        </w:rPr>
        <w:t>)</w:t>
      </w:r>
      <w:r w:rsidRPr="00C749E8">
        <w:rPr>
          <w:rFonts w:eastAsia="標楷體"/>
          <w:color w:val="0070C0"/>
          <w:lang w:val="x-none" w:eastAsia="x-none"/>
        </w:rPr>
        <w:t>或</w:t>
      </w:r>
      <w:r w:rsidRPr="00C749E8">
        <w:rPr>
          <w:rFonts w:eastAsia="標楷體"/>
          <w:color w:val="0070C0"/>
          <w:lang w:val="x-none" w:eastAsia="x-none"/>
        </w:rPr>
        <w:t>(</w:t>
      </w:r>
      <w:r w:rsidRPr="00C749E8">
        <w:rPr>
          <w:rFonts w:eastAsia="標楷體"/>
          <w:color w:val="0070C0"/>
          <w:lang w:val="x-none" w:eastAsia="x-none"/>
        </w:rPr>
        <w:t>二</w:t>
      </w:r>
      <w:r w:rsidRPr="00C749E8">
        <w:rPr>
          <w:rFonts w:eastAsia="標楷體"/>
          <w:color w:val="0070C0"/>
          <w:lang w:val="x-none" w:eastAsia="x-none"/>
        </w:rPr>
        <w:t>)</w:t>
      </w:r>
      <w:r w:rsidRPr="00C749E8">
        <w:rPr>
          <w:rFonts w:eastAsia="標楷體"/>
          <w:color w:val="0070C0"/>
          <w:lang w:val="x-none" w:eastAsia="x-none"/>
        </w:rPr>
        <w:t>獎學金。</w:t>
      </w:r>
    </w:p>
    <w:p w:rsidR="00195843" w:rsidRPr="00C749E8" w:rsidRDefault="00195843" w:rsidP="00195843">
      <w:pPr>
        <w:widowControl w:val="0"/>
        <w:adjustRightInd w:val="0"/>
        <w:spacing w:line="380" w:lineRule="exact"/>
        <w:ind w:leftChars="332" w:left="798" w:hanging="1"/>
        <w:rPr>
          <w:rFonts w:eastAsia="標楷體"/>
          <w:color w:val="0070C0"/>
          <w:lang w:val="x-none" w:eastAsia="x-none"/>
        </w:rPr>
      </w:pPr>
      <w:r w:rsidRPr="00C749E8">
        <w:rPr>
          <w:rFonts w:eastAsia="標楷體"/>
          <w:color w:val="0070C0"/>
          <w:lang w:val="x-none" w:eastAsia="x-none"/>
        </w:rPr>
        <w:t>學生成績如未達標準則取消該學期及往後學期之獎學金領取資格。</w:t>
      </w:r>
    </w:p>
    <w:p w:rsidR="00195843" w:rsidRPr="00C749E8" w:rsidRDefault="00195843" w:rsidP="00195843">
      <w:pPr>
        <w:widowControl w:val="0"/>
        <w:adjustRightInd w:val="0"/>
        <w:spacing w:line="380" w:lineRule="exact"/>
        <w:ind w:leftChars="115" w:left="780" w:hangingChars="210" w:hanging="504"/>
        <w:rPr>
          <w:rFonts w:eastAsia="標楷體"/>
          <w:strike/>
          <w:color w:val="0070C0"/>
          <w:lang w:val="x-none" w:eastAsia="x-none"/>
        </w:rPr>
      </w:pPr>
      <w:r w:rsidRPr="00C749E8">
        <w:rPr>
          <w:rFonts w:eastAsia="標楷體"/>
          <w:color w:val="0070C0"/>
          <w:lang w:val="x-none" w:eastAsia="x-none"/>
        </w:rPr>
        <w:t>(</w:t>
      </w:r>
      <w:r w:rsidRPr="00C749E8">
        <w:rPr>
          <w:rFonts w:eastAsia="標楷體"/>
          <w:color w:val="0070C0"/>
          <w:lang w:val="x-none" w:eastAsia="x-none"/>
        </w:rPr>
        <w:t>四</w:t>
      </w:r>
      <w:r w:rsidRPr="00C749E8">
        <w:rPr>
          <w:rFonts w:eastAsia="標楷體"/>
          <w:color w:val="0070C0"/>
          <w:lang w:val="x-none" w:eastAsia="x-none"/>
        </w:rPr>
        <w:t>)</w:t>
      </w:r>
      <w:r w:rsidRPr="00C749E8">
        <w:rPr>
          <w:rFonts w:eastAsia="標楷體" w:hint="eastAsia"/>
          <w:color w:val="0070C0"/>
          <w:lang w:val="x-none"/>
        </w:rPr>
        <w:t xml:space="preserve"> </w:t>
      </w:r>
      <w:r w:rsidRPr="00C749E8">
        <w:rPr>
          <w:rFonts w:eastAsia="標楷體" w:hint="eastAsia"/>
          <w:color w:val="0070C0"/>
          <w:lang w:val="x-none" w:eastAsia="x-none"/>
        </w:rPr>
        <w:t>綜上</w:t>
      </w:r>
      <w:r w:rsidRPr="00C749E8">
        <w:rPr>
          <w:rFonts w:eastAsia="標楷體" w:hint="eastAsia"/>
          <w:color w:val="0070C0"/>
          <w:lang w:val="x-none" w:eastAsia="x-none"/>
        </w:rPr>
        <w:t>(</w:t>
      </w:r>
      <w:r w:rsidRPr="00C749E8">
        <w:rPr>
          <w:rFonts w:eastAsia="標楷體" w:hint="eastAsia"/>
          <w:color w:val="0070C0"/>
          <w:lang w:val="x-none" w:eastAsia="x-none"/>
        </w:rPr>
        <w:t>一</w:t>
      </w:r>
      <w:r w:rsidRPr="00C749E8">
        <w:rPr>
          <w:rFonts w:eastAsia="標楷體" w:hint="eastAsia"/>
          <w:color w:val="0070C0"/>
          <w:lang w:val="x-none" w:eastAsia="x-none"/>
        </w:rPr>
        <w:t>)</w:t>
      </w:r>
      <w:r w:rsidRPr="00C749E8">
        <w:rPr>
          <w:rFonts w:eastAsia="標楷體" w:hint="eastAsia"/>
          <w:color w:val="0070C0"/>
          <w:lang w:val="x-none" w:eastAsia="x-none"/>
        </w:rPr>
        <w:t>、</w:t>
      </w:r>
      <w:r w:rsidRPr="00C749E8">
        <w:rPr>
          <w:rFonts w:eastAsia="標楷體" w:hint="eastAsia"/>
          <w:color w:val="0070C0"/>
          <w:lang w:val="x-none" w:eastAsia="x-none"/>
        </w:rPr>
        <w:t>(</w:t>
      </w:r>
      <w:r w:rsidRPr="00C749E8">
        <w:rPr>
          <w:rFonts w:eastAsia="標楷體" w:hint="eastAsia"/>
          <w:color w:val="0070C0"/>
          <w:lang w:val="x-none" w:eastAsia="x-none"/>
        </w:rPr>
        <w:t>二</w:t>
      </w:r>
      <w:r w:rsidRPr="00C749E8">
        <w:rPr>
          <w:rFonts w:eastAsia="標楷體" w:hint="eastAsia"/>
          <w:color w:val="0070C0"/>
          <w:lang w:val="x-none" w:eastAsia="x-none"/>
        </w:rPr>
        <w:t>)</w:t>
      </w:r>
      <w:r w:rsidRPr="00C749E8">
        <w:rPr>
          <w:rFonts w:eastAsia="標楷體" w:hint="eastAsia"/>
          <w:color w:val="0070C0"/>
          <w:lang w:val="x-none" w:eastAsia="x-none"/>
        </w:rPr>
        <w:t>項獎學金，每位學生每學期合計最高以一萬元為限</w:t>
      </w:r>
      <w:r w:rsidRPr="00C749E8">
        <w:rPr>
          <w:rFonts w:eastAsia="標楷體"/>
          <w:color w:val="0070C0"/>
          <w:lang w:val="x-none" w:eastAsia="x-none"/>
        </w:rPr>
        <w:t>。</w:t>
      </w:r>
    </w:p>
    <w:p w:rsidR="00195843" w:rsidRPr="00C749E8" w:rsidRDefault="00195843" w:rsidP="00195843">
      <w:pPr>
        <w:widowControl w:val="0"/>
        <w:adjustRightInd w:val="0"/>
        <w:spacing w:before="30"/>
        <w:ind w:leftChars="9" w:left="502" w:hangingChars="200" w:hanging="480"/>
        <w:rPr>
          <w:rFonts w:eastAsia="標楷體"/>
          <w:color w:val="0070C0"/>
          <w:lang w:val="x-none" w:eastAsia="x-none"/>
        </w:rPr>
      </w:pPr>
      <w:r w:rsidRPr="00C749E8">
        <w:rPr>
          <w:rFonts w:eastAsia="標楷體"/>
          <w:color w:val="0070C0"/>
          <w:lang w:val="x-none" w:eastAsia="x-none"/>
        </w:rPr>
        <w:t>五、凡符合條件者本校將自動頒發本獎學金。第一學期於</w:t>
      </w:r>
      <w:r w:rsidRPr="00C749E8">
        <w:rPr>
          <w:rFonts w:eastAsia="標楷體"/>
          <w:color w:val="0070C0"/>
          <w:lang w:val="x-none" w:eastAsia="x-none"/>
        </w:rPr>
        <w:t>11</w:t>
      </w:r>
      <w:r w:rsidRPr="00C749E8">
        <w:rPr>
          <w:rFonts w:eastAsia="標楷體"/>
          <w:color w:val="0070C0"/>
          <w:lang w:val="x-none" w:eastAsia="x-none"/>
        </w:rPr>
        <w:t>月核發；第二學期於</w:t>
      </w:r>
      <w:r w:rsidRPr="00C749E8">
        <w:rPr>
          <w:rFonts w:eastAsia="標楷體"/>
          <w:color w:val="0070C0"/>
          <w:lang w:val="x-none" w:eastAsia="x-none"/>
        </w:rPr>
        <w:t>4</w:t>
      </w:r>
      <w:r w:rsidRPr="00C749E8">
        <w:rPr>
          <w:rFonts w:eastAsia="標楷體"/>
          <w:color w:val="0070C0"/>
          <w:lang w:val="x-none" w:eastAsia="x-none"/>
        </w:rPr>
        <w:t>月核發，受獎學生名單將公布於本校網站及公開表揚。</w:t>
      </w:r>
    </w:p>
    <w:p w:rsidR="00195843" w:rsidRPr="00C749E8" w:rsidRDefault="00195843" w:rsidP="00195843">
      <w:pPr>
        <w:widowControl w:val="0"/>
        <w:adjustRightInd w:val="0"/>
        <w:spacing w:before="30"/>
        <w:ind w:leftChars="9" w:left="502" w:hangingChars="200" w:hanging="480"/>
        <w:rPr>
          <w:rFonts w:eastAsia="標楷體"/>
          <w:color w:val="0070C0"/>
          <w:lang w:val="x-none" w:eastAsia="x-none"/>
        </w:rPr>
      </w:pPr>
      <w:r w:rsidRPr="00C749E8">
        <w:rPr>
          <w:rFonts w:eastAsia="標楷體"/>
          <w:color w:val="0070C0"/>
          <w:lang w:val="x-none" w:eastAsia="x-none"/>
        </w:rPr>
        <w:t>六、當學期休學、退學、轉學者，取消其該學期及往後學期之得獎資格，但遇有特殊事故休學，經本校行政會議同意者，不在此限。</w:t>
      </w:r>
    </w:p>
    <w:p w:rsidR="00195843" w:rsidRPr="00C749E8" w:rsidRDefault="00195843" w:rsidP="00195843">
      <w:pPr>
        <w:widowControl w:val="0"/>
        <w:adjustRightInd w:val="0"/>
        <w:spacing w:before="30"/>
        <w:ind w:leftChars="9" w:left="502" w:hangingChars="200" w:hanging="480"/>
        <w:rPr>
          <w:rFonts w:ascii="標楷體" w:eastAsia="標楷體" w:hAnsi="Courier New"/>
          <w:b/>
          <w:color w:val="0070C0"/>
          <w:lang w:val="x-none" w:eastAsia="x-none"/>
        </w:rPr>
      </w:pPr>
      <w:r w:rsidRPr="00C749E8">
        <w:rPr>
          <w:rFonts w:ascii="標楷體" w:eastAsia="標楷體" w:hAnsi="Courier New"/>
          <w:b/>
          <w:color w:val="0070C0"/>
          <w:lang w:val="x-none" w:eastAsia="x-none"/>
        </w:rPr>
        <w:t>七、經費來源：</w:t>
      </w:r>
      <w:r w:rsidRPr="00C749E8">
        <w:rPr>
          <w:rFonts w:ascii="標楷體" w:eastAsia="標楷體" w:hAnsi="Courier New" w:hint="eastAsia"/>
          <w:b/>
          <w:color w:val="0070C0"/>
          <w:lang w:val="x-none" w:eastAsia="x-none"/>
        </w:rPr>
        <w:t>入學</w:t>
      </w:r>
      <w:r w:rsidRPr="00C749E8">
        <w:rPr>
          <w:rFonts w:ascii="標楷體" w:eastAsia="標楷體" w:hAnsi="Courier New"/>
          <w:b/>
          <w:color w:val="0070C0"/>
          <w:lang w:val="x-none" w:eastAsia="x-none"/>
        </w:rPr>
        <w:t>獎</w:t>
      </w:r>
      <w:r w:rsidRPr="00C749E8">
        <w:rPr>
          <w:rFonts w:ascii="標楷體" w:eastAsia="標楷體" w:hAnsi="Courier New" w:hint="eastAsia"/>
          <w:b/>
          <w:color w:val="0070C0"/>
          <w:lang w:val="x-none" w:eastAsia="x-none"/>
        </w:rPr>
        <w:t>學</w:t>
      </w:r>
      <w:r w:rsidRPr="00C749E8">
        <w:rPr>
          <w:rFonts w:ascii="標楷體" w:eastAsia="標楷體" w:hAnsi="Courier New"/>
          <w:b/>
          <w:color w:val="0070C0"/>
          <w:lang w:val="x-none" w:eastAsia="x-none"/>
        </w:rPr>
        <w:t>金一律先由本校優質化經費核支，不足部份得請本校三會酌予贊助。</w:t>
      </w:r>
    </w:p>
    <w:p w:rsidR="00195843" w:rsidRPr="00C749E8" w:rsidRDefault="00195843" w:rsidP="00195843">
      <w:pPr>
        <w:widowControl w:val="0"/>
        <w:adjustRightInd w:val="0"/>
        <w:spacing w:before="30"/>
        <w:ind w:leftChars="9" w:left="502" w:hangingChars="200" w:hanging="480"/>
        <w:rPr>
          <w:rFonts w:eastAsia="標楷體"/>
          <w:color w:val="0070C0"/>
          <w:lang w:val="x-none" w:eastAsia="x-none"/>
        </w:rPr>
      </w:pPr>
      <w:r w:rsidRPr="00C749E8">
        <w:rPr>
          <w:rFonts w:eastAsia="標楷體"/>
          <w:color w:val="0070C0"/>
          <w:lang w:val="x-none" w:eastAsia="x-none"/>
        </w:rPr>
        <w:t>八、本辦法經經行政會議通過並陳校長核定後實施，修正時亦同。</w:t>
      </w:r>
    </w:p>
    <w:p w:rsidR="00195843" w:rsidRPr="00C749E8" w:rsidRDefault="00195843" w:rsidP="00195843">
      <w:pPr>
        <w:rPr>
          <w:rFonts w:eastAsia="標楷體"/>
          <w:color w:val="0070C0"/>
        </w:rPr>
      </w:pPr>
    </w:p>
    <w:p w:rsidR="00195843" w:rsidRPr="00C749E8" w:rsidRDefault="00195843" w:rsidP="00195843">
      <w:pPr>
        <w:rPr>
          <w:color w:val="0070C0"/>
        </w:rPr>
      </w:pPr>
    </w:p>
    <w:p w:rsidR="007476B6" w:rsidRPr="00195843" w:rsidRDefault="007476B6"/>
    <w:sectPr w:rsidR="007476B6" w:rsidRPr="00195843" w:rsidSect="0019584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8D" w:rsidRDefault="0029378D" w:rsidP="00195843">
      <w:pPr>
        <w:spacing w:line="240" w:lineRule="auto"/>
      </w:pPr>
      <w:r>
        <w:separator/>
      </w:r>
    </w:p>
  </w:endnote>
  <w:endnote w:type="continuationSeparator" w:id="0">
    <w:p w:rsidR="0029378D" w:rsidRDefault="0029378D" w:rsidP="00195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8D" w:rsidRDefault="0029378D" w:rsidP="00195843">
      <w:pPr>
        <w:spacing w:line="240" w:lineRule="auto"/>
      </w:pPr>
      <w:r>
        <w:separator/>
      </w:r>
    </w:p>
  </w:footnote>
  <w:footnote w:type="continuationSeparator" w:id="0">
    <w:p w:rsidR="0029378D" w:rsidRDefault="0029378D" w:rsidP="001958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30"/>
    <w:rsid w:val="00195843"/>
    <w:rsid w:val="0029378D"/>
    <w:rsid w:val="005F7530"/>
    <w:rsid w:val="00747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4407"/>
  <w15:chartTrackingRefBased/>
  <w15:docId w15:val="{F1595FA5-56EC-4936-B856-3BFC923C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43"/>
    <w:pPr>
      <w:spacing w:line="0" w:lineRule="atLeas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43"/>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4">
    <w:name w:val="頁首 字元"/>
    <w:basedOn w:val="a0"/>
    <w:link w:val="a3"/>
    <w:uiPriority w:val="99"/>
    <w:rsid w:val="00195843"/>
    <w:rPr>
      <w:sz w:val="20"/>
      <w:szCs w:val="20"/>
    </w:rPr>
  </w:style>
  <w:style w:type="paragraph" w:styleId="a5">
    <w:name w:val="footer"/>
    <w:basedOn w:val="a"/>
    <w:link w:val="a6"/>
    <w:uiPriority w:val="99"/>
    <w:unhideWhenUsed/>
    <w:rsid w:val="00195843"/>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6">
    <w:name w:val="頁尾 字元"/>
    <w:basedOn w:val="a0"/>
    <w:link w:val="a5"/>
    <w:uiPriority w:val="99"/>
    <w:rsid w:val="00195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2020-10-14T07:29:00Z</dcterms:created>
  <dcterms:modified xsi:type="dcterms:W3CDTF">2020-10-14T07:30:00Z</dcterms:modified>
</cp:coreProperties>
</file>